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F362" w14:textId="74A8981C" w:rsidR="00A6473C" w:rsidRPr="00A6473C" w:rsidRDefault="00A6473C" w:rsidP="00A6473C">
      <w:pPr>
        <w:rPr>
          <w:rFonts w:ascii="Verdana" w:hAnsi="Verdana"/>
          <w:b/>
          <w:bCs/>
          <w:sz w:val="32"/>
          <w:szCs w:val="32"/>
        </w:rPr>
      </w:pPr>
      <w:r w:rsidRPr="00A6473C">
        <w:rPr>
          <w:rFonts w:ascii="Verdana" w:hAnsi="Verdana"/>
          <w:b/>
          <w:bCs/>
          <w:sz w:val="32"/>
          <w:szCs w:val="32"/>
        </w:rPr>
        <w:t xml:space="preserve">Poplatkový web </w:t>
      </w:r>
      <w:r w:rsidR="00EA1B7F">
        <w:rPr>
          <w:rFonts w:ascii="Verdana" w:hAnsi="Verdana"/>
          <w:b/>
          <w:bCs/>
          <w:sz w:val="32"/>
          <w:szCs w:val="32"/>
        </w:rPr>
        <w:t>ČT</w:t>
      </w:r>
      <w:r w:rsidRPr="00A6473C">
        <w:rPr>
          <w:rFonts w:ascii="Verdana" w:hAnsi="Verdana"/>
          <w:b/>
          <w:bCs/>
          <w:sz w:val="32"/>
          <w:szCs w:val="32"/>
        </w:rPr>
        <w:t xml:space="preserve"> odbavil rekordní počty přihlášek. Bez větších technických potíží úspěšně obsloužil </w:t>
      </w:r>
      <w:r w:rsidR="00D21383">
        <w:rPr>
          <w:rFonts w:ascii="Verdana" w:hAnsi="Verdana"/>
          <w:b/>
          <w:bCs/>
          <w:sz w:val="32"/>
          <w:szCs w:val="32"/>
        </w:rPr>
        <w:t xml:space="preserve">za poslední týden </w:t>
      </w:r>
      <w:r w:rsidRPr="00A6473C">
        <w:rPr>
          <w:rFonts w:ascii="Verdana" w:hAnsi="Verdana"/>
          <w:b/>
          <w:bCs/>
          <w:sz w:val="32"/>
          <w:szCs w:val="32"/>
        </w:rPr>
        <w:t>více než 700 tisíc uživatelů</w:t>
      </w:r>
    </w:p>
    <w:p w14:paraId="30C5119F" w14:textId="77777777" w:rsidR="00966A9B" w:rsidRDefault="00966A9B" w:rsidP="00C10BBD">
      <w:pPr>
        <w:rPr>
          <w:rFonts w:ascii="Verdana" w:hAnsi="Verdana"/>
          <w:b/>
          <w:sz w:val="32"/>
          <w:szCs w:val="32"/>
        </w:rPr>
      </w:pPr>
    </w:p>
    <w:p w14:paraId="1341D369" w14:textId="182F9C7E"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D21383">
        <w:rPr>
          <w:rFonts w:ascii="Verdana" w:hAnsi="Verdana"/>
          <w:noProof/>
          <w:color w:val="auto"/>
          <w:sz w:val="18"/>
          <w:szCs w:val="18"/>
        </w:rPr>
        <w:t>2. července 2025</w:t>
      </w:r>
      <w:r>
        <w:rPr>
          <w:rFonts w:ascii="Verdana" w:hAnsi="Verdana"/>
          <w:color w:val="auto"/>
          <w:sz w:val="18"/>
          <w:szCs w:val="18"/>
        </w:rPr>
        <w:fldChar w:fldCharType="end"/>
      </w:r>
    </w:p>
    <w:p w14:paraId="5F582408" w14:textId="77777777" w:rsidR="00D42B09" w:rsidRPr="00C10BBD" w:rsidRDefault="00D42B09" w:rsidP="00C10BBD">
      <w:pPr>
        <w:rPr>
          <w:rFonts w:ascii="Verdana" w:hAnsi="Verdana"/>
          <w:b/>
          <w:color w:val="auto"/>
          <w:sz w:val="18"/>
          <w:szCs w:val="18"/>
        </w:rPr>
      </w:pPr>
    </w:p>
    <w:p w14:paraId="5EC5FFCA" w14:textId="39E3986F" w:rsidR="002D22BE" w:rsidRPr="002D22BE" w:rsidRDefault="00294F4A" w:rsidP="002D22BE">
      <w:pPr>
        <w:pStyle w:val="Textzprvy"/>
        <w:spacing w:after="0"/>
        <w:rPr>
          <w:b/>
          <w:bCs/>
        </w:rPr>
      </w:pPr>
      <w:r w:rsidRPr="00294F4A">
        <w:rPr>
          <w:b/>
        </w:rPr>
        <w:t xml:space="preserve">Česká televize zaznamenala v posledních dnech mimořádně vysoký zájem o registraci k televizním poplatkům. </w:t>
      </w:r>
      <w:r w:rsidR="00AA5B95">
        <w:rPr>
          <w:b/>
        </w:rPr>
        <w:t>Web</w:t>
      </w:r>
      <w:r w:rsidRPr="00294F4A">
        <w:rPr>
          <w:b/>
        </w:rPr>
        <w:t xml:space="preserve"> tvpoplatky.cz za poslední týden úspěšně obsloužil více než </w:t>
      </w:r>
      <w:r w:rsidR="00AA5B95">
        <w:rPr>
          <w:b/>
        </w:rPr>
        <w:t>700</w:t>
      </w:r>
      <w:r w:rsidRPr="00294F4A">
        <w:rPr>
          <w:b/>
        </w:rPr>
        <w:t xml:space="preserve"> tisíc uživatelů, a to bez větších technických potíží. V reakci na vysoký nápor byla průběžně posilována kapacita systému. Ve špičkových obdobích mohlo u části uživatelů dojít ke zpomalení odezvy, nikoliv však k nedostupnosti. První drobný výpadek byl zaznamenán až v noci 1. července a měl krátkodobý charakter.</w:t>
      </w:r>
      <w:r w:rsidR="002D22BE" w:rsidRPr="002D22BE">
        <w:t xml:space="preserve"> </w:t>
      </w:r>
      <w:r w:rsidR="002D22BE" w:rsidRPr="002D22BE">
        <w:rPr>
          <w:b/>
          <w:bCs/>
        </w:rPr>
        <w:t xml:space="preserve">Česká televize odmítá nepodložené informace o údajných rozsáhlých technických výpadcích. </w:t>
      </w:r>
    </w:p>
    <w:p w14:paraId="518EBD24" w14:textId="77777777" w:rsidR="003B26F7" w:rsidRDefault="003B26F7" w:rsidP="00576FC6">
      <w:pPr>
        <w:pStyle w:val="Textzprvy"/>
        <w:spacing w:after="0"/>
      </w:pPr>
    </w:p>
    <w:p w14:paraId="3B1E3832" w14:textId="77777777" w:rsidR="00A6473C" w:rsidRDefault="00A6473C" w:rsidP="00A6473C">
      <w:pPr>
        <w:pStyle w:val="Textzprvy"/>
        <w:spacing w:after="0"/>
      </w:pPr>
      <w:r w:rsidRPr="00016901">
        <w:t>Součástí velké mediální novely bylo přechodné období, během něhož měli stávající poplatníci povinnost do 30. června 2025 nahlásit počet svých zaměstnanců. Tato povinnost se týkala pouze těch, kteří televizní poplatek hradili již před 1. květnem 2025 – tedy například provozoven s televizním přijímačem. Těmto poplatníkům zaslala Česká televize individuální výzvu prostřednictvím datové schránky s odkazem na formulář pro vyplnění potřebných údajů.</w:t>
      </w:r>
    </w:p>
    <w:p w14:paraId="115EBC5F" w14:textId="77777777" w:rsidR="00A6473C" w:rsidRPr="00016901" w:rsidRDefault="00A6473C" w:rsidP="00A6473C">
      <w:pPr>
        <w:pStyle w:val="Textzprvy"/>
        <w:spacing w:after="0"/>
      </w:pPr>
    </w:p>
    <w:p w14:paraId="7A6D32B1" w14:textId="77777777" w:rsidR="00A6473C" w:rsidRDefault="00A6473C" w:rsidP="00A6473C">
      <w:pPr>
        <w:pStyle w:val="Textzprvy"/>
        <w:spacing w:after="0"/>
      </w:pPr>
      <w:r w:rsidRPr="00016901">
        <w:t>Poplatníci, kteří před účinností novely (tedy před 1. 5. 2025) televizní poplatek nehradili, ale stali se jimi nově, mají zákonnou povinnost se do evidence přihlásit do 15 dnů ode dne, kdy tuto skutečnost zjistí. Lhůta do 30. června 2025 se jich tedy netýk</w:t>
      </w:r>
      <w:r>
        <w:t>ala</w:t>
      </w:r>
      <w:r w:rsidRPr="00016901">
        <w:t>.</w:t>
      </w:r>
    </w:p>
    <w:p w14:paraId="4A3EBA9E" w14:textId="77777777" w:rsidR="00A6473C" w:rsidRPr="00016901" w:rsidRDefault="00A6473C" w:rsidP="00A6473C">
      <w:pPr>
        <w:pStyle w:val="Textzprvy"/>
        <w:spacing w:after="0"/>
      </w:pPr>
    </w:p>
    <w:p w14:paraId="638A2539" w14:textId="77777777" w:rsidR="00A6473C" w:rsidRDefault="00A6473C" w:rsidP="00A6473C">
      <w:pPr>
        <w:pStyle w:val="Textzprvy"/>
        <w:spacing w:after="0"/>
      </w:pPr>
      <w:r w:rsidRPr="00016901">
        <w:t>V případech, kdy poplatník svou povinnost dosud nesplnil, avšak výsledek registrace by byl nulový (například z důvodu nízkého počtu zaměstnanců), nevzniká nárok na žádnou sankci ze strany České televize.</w:t>
      </w:r>
    </w:p>
    <w:p w14:paraId="45C2F624" w14:textId="77777777" w:rsidR="00A6473C" w:rsidRDefault="00A6473C" w:rsidP="00A6473C">
      <w:pPr>
        <w:pStyle w:val="Textzprvy"/>
        <w:spacing w:after="0"/>
      </w:pPr>
    </w:p>
    <w:p w14:paraId="63699546" w14:textId="0B048703" w:rsidR="00A6473C" w:rsidRDefault="00A6473C" w:rsidP="00A6473C">
      <w:pPr>
        <w:pStyle w:val="Textzprvy"/>
        <w:spacing w:after="0"/>
      </w:pPr>
      <w:r>
        <w:t xml:space="preserve">Dovolujeme si také upozornit na špatně citovaný pojem „koncesionářský poplatek“. Zákon takový název nezná, správné označení je tak vždy televizní (a rozhlasový) poplatek. </w:t>
      </w:r>
    </w:p>
    <w:p w14:paraId="6490823B" w14:textId="77777777" w:rsidR="00A6473C" w:rsidRDefault="00A6473C" w:rsidP="00A6473C">
      <w:pPr>
        <w:pStyle w:val="Textzprvy"/>
        <w:spacing w:after="0"/>
      </w:pPr>
    </w:p>
    <w:p w14:paraId="16E10F8A" w14:textId="77777777" w:rsidR="00A6473C" w:rsidRDefault="00A6473C" w:rsidP="00A6473C">
      <w:pPr>
        <w:pStyle w:val="Textzprvy"/>
        <w:spacing w:after="0"/>
      </w:pPr>
      <w:r>
        <w:t xml:space="preserve">Odpovědi na nejčastější dotazy nabízí přehledný web </w:t>
      </w:r>
      <w:hyperlink r:id="rId7" w:history="1">
        <w:r w:rsidRPr="00BE5FDB">
          <w:rPr>
            <w:rStyle w:val="Hypertextovodkaz"/>
          </w:rPr>
          <w:t>tvpoplatky.cz</w:t>
        </w:r>
      </w:hyperlink>
      <w:r>
        <w:t xml:space="preserve">, kde je k dispozici také chatbot. </w:t>
      </w:r>
    </w:p>
    <w:p w14:paraId="06A178D5" w14:textId="77777777" w:rsidR="00294F4A" w:rsidRPr="00294F4A" w:rsidRDefault="00294F4A" w:rsidP="00966A9B">
      <w:pPr>
        <w:pStyle w:val="Textzprvy"/>
        <w:spacing w:after="0"/>
      </w:pPr>
    </w:p>
    <w:p w14:paraId="3118729C" w14:textId="77777777" w:rsidR="007312C5" w:rsidRDefault="00636765" w:rsidP="00576FC6">
      <w:pPr>
        <w:pStyle w:val="Textzprvy"/>
        <w:spacing w:after="0"/>
        <w:rPr>
          <w:bCs/>
          <w:sz w:val="16"/>
          <w:szCs w:val="16"/>
        </w:rPr>
      </w:pPr>
      <w:r>
        <w:rPr>
          <w:bCs/>
          <w:sz w:val="16"/>
          <w:szCs w:val="16"/>
        </w:rPr>
        <w:t>Tiskové oddělení České televize</w:t>
      </w:r>
    </w:p>
    <w:p w14:paraId="11F1892A"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8" w:history="1">
        <w:r w:rsidRPr="006930FC">
          <w:rPr>
            <w:rStyle w:val="Hypertextovodkaz"/>
            <w:bCs/>
            <w:sz w:val="16"/>
            <w:szCs w:val="16"/>
          </w:rPr>
          <w:t>www.ceskatelevize.cz/vse-o-ct/pro-media</w:t>
        </w:r>
      </w:hyperlink>
    </w:p>
    <w:sectPr w:rsidR="007312C5" w:rsidRPr="003B26F7"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9C2A" w14:textId="77777777" w:rsidR="00C56A23" w:rsidRDefault="00C56A23" w:rsidP="00FE502B">
      <w:r>
        <w:separator/>
      </w:r>
    </w:p>
  </w:endnote>
  <w:endnote w:type="continuationSeparator" w:id="0">
    <w:p w14:paraId="0B202CE3" w14:textId="77777777" w:rsidR="00C56A23" w:rsidRDefault="00C56A23"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0F7"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50895BA8"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408E1379"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74A3" w14:textId="77777777" w:rsidR="00C56A23" w:rsidRDefault="00C56A23" w:rsidP="00FE502B">
      <w:r>
        <w:separator/>
      </w:r>
    </w:p>
  </w:footnote>
  <w:footnote w:type="continuationSeparator" w:id="0">
    <w:p w14:paraId="265940F7" w14:textId="77777777" w:rsidR="00C56A23" w:rsidRDefault="00C56A23"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315D"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2B4CDA78" wp14:editId="3E65F6F3">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22C29"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DA78"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42E22C29"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68BF9B72" wp14:editId="19BB5615">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23"/>
    <w:rsid w:val="00005066"/>
    <w:rsid w:val="00005CB7"/>
    <w:rsid w:val="00016901"/>
    <w:rsid w:val="00041F97"/>
    <w:rsid w:val="00054142"/>
    <w:rsid w:val="00070486"/>
    <w:rsid w:val="00074F2B"/>
    <w:rsid w:val="00097321"/>
    <w:rsid w:val="000A70ED"/>
    <w:rsid w:val="000B5483"/>
    <w:rsid w:val="000D38F4"/>
    <w:rsid w:val="000D5B63"/>
    <w:rsid w:val="000D6D6D"/>
    <w:rsid w:val="000D7108"/>
    <w:rsid w:val="000F04FD"/>
    <w:rsid w:val="000F506B"/>
    <w:rsid w:val="000F6642"/>
    <w:rsid w:val="000F7A58"/>
    <w:rsid w:val="001026AF"/>
    <w:rsid w:val="001079C8"/>
    <w:rsid w:val="001138D2"/>
    <w:rsid w:val="0013378E"/>
    <w:rsid w:val="00137CD5"/>
    <w:rsid w:val="00137D28"/>
    <w:rsid w:val="0014360A"/>
    <w:rsid w:val="00144247"/>
    <w:rsid w:val="00144618"/>
    <w:rsid w:val="001509D6"/>
    <w:rsid w:val="00150CB9"/>
    <w:rsid w:val="00156863"/>
    <w:rsid w:val="0016265D"/>
    <w:rsid w:val="001661E7"/>
    <w:rsid w:val="00173127"/>
    <w:rsid w:val="00176B98"/>
    <w:rsid w:val="00176BB2"/>
    <w:rsid w:val="001901AF"/>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94F4A"/>
    <w:rsid w:val="002A57EC"/>
    <w:rsid w:val="002C54A8"/>
    <w:rsid w:val="002D22BE"/>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95EFE"/>
    <w:rsid w:val="003B0712"/>
    <w:rsid w:val="003B26F7"/>
    <w:rsid w:val="003B6CB2"/>
    <w:rsid w:val="003C07D0"/>
    <w:rsid w:val="003C7B96"/>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ABF"/>
    <w:rsid w:val="00581DEA"/>
    <w:rsid w:val="00585033"/>
    <w:rsid w:val="0059030B"/>
    <w:rsid w:val="00595813"/>
    <w:rsid w:val="005B15A0"/>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82DB1"/>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37DF"/>
    <w:rsid w:val="008D51B9"/>
    <w:rsid w:val="008D6EAD"/>
    <w:rsid w:val="008F6EC2"/>
    <w:rsid w:val="0090024B"/>
    <w:rsid w:val="0090355A"/>
    <w:rsid w:val="00917E36"/>
    <w:rsid w:val="00923FD5"/>
    <w:rsid w:val="00940DAD"/>
    <w:rsid w:val="0095031E"/>
    <w:rsid w:val="0096200E"/>
    <w:rsid w:val="00962619"/>
    <w:rsid w:val="00964730"/>
    <w:rsid w:val="00966A9B"/>
    <w:rsid w:val="00985DCE"/>
    <w:rsid w:val="00995CA1"/>
    <w:rsid w:val="00997E85"/>
    <w:rsid w:val="009A037D"/>
    <w:rsid w:val="009A643D"/>
    <w:rsid w:val="009B1D76"/>
    <w:rsid w:val="009B47EE"/>
    <w:rsid w:val="009C281E"/>
    <w:rsid w:val="009C35B4"/>
    <w:rsid w:val="009D0DB2"/>
    <w:rsid w:val="009E1BB0"/>
    <w:rsid w:val="009E753A"/>
    <w:rsid w:val="009F00FC"/>
    <w:rsid w:val="00A025AB"/>
    <w:rsid w:val="00A0297D"/>
    <w:rsid w:val="00A03445"/>
    <w:rsid w:val="00A0717F"/>
    <w:rsid w:val="00A24833"/>
    <w:rsid w:val="00A35054"/>
    <w:rsid w:val="00A36664"/>
    <w:rsid w:val="00A524D3"/>
    <w:rsid w:val="00A6473C"/>
    <w:rsid w:val="00A815A1"/>
    <w:rsid w:val="00A82B5D"/>
    <w:rsid w:val="00A85A56"/>
    <w:rsid w:val="00A873B9"/>
    <w:rsid w:val="00AA4AF3"/>
    <w:rsid w:val="00AA4E79"/>
    <w:rsid w:val="00AA5B95"/>
    <w:rsid w:val="00AB00FF"/>
    <w:rsid w:val="00AC0789"/>
    <w:rsid w:val="00AC0E90"/>
    <w:rsid w:val="00AD0F79"/>
    <w:rsid w:val="00AE20F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E5FDB"/>
    <w:rsid w:val="00BF286D"/>
    <w:rsid w:val="00BF3E23"/>
    <w:rsid w:val="00C073BF"/>
    <w:rsid w:val="00C10BBD"/>
    <w:rsid w:val="00C164E8"/>
    <w:rsid w:val="00C31352"/>
    <w:rsid w:val="00C37473"/>
    <w:rsid w:val="00C56A23"/>
    <w:rsid w:val="00C61585"/>
    <w:rsid w:val="00C63A47"/>
    <w:rsid w:val="00C6628D"/>
    <w:rsid w:val="00C71B9B"/>
    <w:rsid w:val="00C80E14"/>
    <w:rsid w:val="00C84A3C"/>
    <w:rsid w:val="00C85878"/>
    <w:rsid w:val="00C90598"/>
    <w:rsid w:val="00C91BA7"/>
    <w:rsid w:val="00CA7EB5"/>
    <w:rsid w:val="00CB3912"/>
    <w:rsid w:val="00CB3995"/>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21383"/>
    <w:rsid w:val="00D3180E"/>
    <w:rsid w:val="00D4122E"/>
    <w:rsid w:val="00D42B09"/>
    <w:rsid w:val="00D46478"/>
    <w:rsid w:val="00D520F6"/>
    <w:rsid w:val="00D55793"/>
    <w:rsid w:val="00D738E6"/>
    <w:rsid w:val="00D97134"/>
    <w:rsid w:val="00DA2F4B"/>
    <w:rsid w:val="00DA41E7"/>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A1B7F"/>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72F2B"/>
  <w15:chartTrackingRefBased/>
  <w15:docId w15:val="{50896783-CE42-43C7-8285-D32198BD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246337">
      <w:bodyDiv w:val="1"/>
      <w:marLeft w:val="0"/>
      <w:marRight w:val="0"/>
      <w:marTop w:val="0"/>
      <w:marBottom w:val="0"/>
      <w:divBdr>
        <w:top w:val="none" w:sz="0" w:space="0" w:color="auto"/>
        <w:left w:val="none" w:sz="0" w:space="0" w:color="auto"/>
        <w:bottom w:val="none" w:sz="0" w:space="0" w:color="auto"/>
        <w:right w:val="none" w:sz="0" w:space="0" w:color="auto"/>
      </w:divBdr>
      <w:divsChild>
        <w:div w:id="2102296555">
          <w:marLeft w:val="0"/>
          <w:marRight w:val="0"/>
          <w:marTop w:val="0"/>
          <w:marBottom w:val="0"/>
          <w:divBdr>
            <w:top w:val="none" w:sz="0" w:space="0" w:color="auto"/>
            <w:left w:val="none" w:sz="0" w:space="0" w:color="auto"/>
            <w:bottom w:val="none" w:sz="0" w:space="0" w:color="auto"/>
            <w:right w:val="none" w:sz="0" w:space="0" w:color="auto"/>
          </w:divBdr>
          <w:divsChild>
            <w:div w:id="1758624710">
              <w:marLeft w:val="0"/>
              <w:marRight w:val="0"/>
              <w:marTop w:val="0"/>
              <w:marBottom w:val="0"/>
              <w:divBdr>
                <w:top w:val="none" w:sz="0" w:space="0" w:color="auto"/>
                <w:left w:val="none" w:sz="0" w:space="0" w:color="auto"/>
                <w:bottom w:val="none" w:sz="0" w:space="0" w:color="auto"/>
                <w:right w:val="none" w:sz="0" w:space="0" w:color="auto"/>
              </w:divBdr>
              <w:divsChild>
                <w:div w:id="1158038936">
                  <w:marLeft w:val="0"/>
                  <w:marRight w:val="0"/>
                  <w:marTop w:val="0"/>
                  <w:marBottom w:val="0"/>
                  <w:divBdr>
                    <w:top w:val="none" w:sz="0" w:space="0" w:color="auto"/>
                    <w:left w:val="none" w:sz="0" w:space="0" w:color="auto"/>
                    <w:bottom w:val="none" w:sz="0" w:space="0" w:color="auto"/>
                    <w:right w:val="none" w:sz="0" w:space="0" w:color="auto"/>
                  </w:divBdr>
                  <w:divsChild>
                    <w:div w:id="1727530249">
                      <w:marLeft w:val="0"/>
                      <w:marRight w:val="0"/>
                      <w:marTop w:val="0"/>
                      <w:marBottom w:val="0"/>
                      <w:divBdr>
                        <w:top w:val="none" w:sz="0" w:space="0" w:color="auto"/>
                        <w:left w:val="none" w:sz="0" w:space="0" w:color="auto"/>
                        <w:bottom w:val="none" w:sz="0" w:space="0" w:color="auto"/>
                        <w:right w:val="none" w:sz="0" w:space="0" w:color="auto"/>
                      </w:divBdr>
                      <w:divsChild>
                        <w:div w:id="19835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20872">
      <w:bodyDiv w:val="1"/>
      <w:marLeft w:val="0"/>
      <w:marRight w:val="0"/>
      <w:marTop w:val="0"/>
      <w:marBottom w:val="0"/>
      <w:divBdr>
        <w:top w:val="none" w:sz="0" w:space="0" w:color="auto"/>
        <w:left w:val="none" w:sz="0" w:space="0" w:color="auto"/>
        <w:bottom w:val="none" w:sz="0" w:space="0" w:color="auto"/>
        <w:right w:val="none" w:sz="0" w:space="0" w:color="auto"/>
      </w:divBdr>
    </w:div>
    <w:div w:id="737825008">
      <w:bodyDiv w:val="1"/>
      <w:marLeft w:val="0"/>
      <w:marRight w:val="0"/>
      <w:marTop w:val="0"/>
      <w:marBottom w:val="0"/>
      <w:divBdr>
        <w:top w:val="none" w:sz="0" w:space="0" w:color="auto"/>
        <w:left w:val="none" w:sz="0" w:space="0" w:color="auto"/>
        <w:bottom w:val="none" w:sz="0" w:space="0" w:color="auto"/>
        <w:right w:val="none" w:sz="0" w:space="0" w:color="auto"/>
      </w:divBdr>
    </w:div>
    <w:div w:id="796488321">
      <w:bodyDiv w:val="1"/>
      <w:marLeft w:val="0"/>
      <w:marRight w:val="0"/>
      <w:marTop w:val="0"/>
      <w:marBottom w:val="0"/>
      <w:divBdr>
        <w:top w:val="none" w:sz="0" w:space="0" w:color="auto"/>
        <w:left w:val="none" w:sz="0" w:space="0" w:color="auto"/>
        <w:bottom w:val="none" w:sz="0" w:space="0" w:color="auto"/>
        <w:right w:val="none" w:sz="0" w:space="0" w:color="auto"/>
      </w:divBdr>
      <w:divsChild>
        <w:div w:id="68386369">
          <w:marLeft w:val="0"/>
          <w:marRight w:val="0"/>
          <w:marTop w:val="0"/>
          <w:marBottom w:val="0"/>
          <w:divBdr>
            <w:top w:val="none" w:sz="0" w:space="0" w:color="auto"/>
            <w:left w:val="none" w:sz="0" w:space="0" w:color="auto"/>
            <w:bottom w:val="none" w:sz="0" w:space="0" w:color="auto"/>
            <w:right w:val="none" w:sz="0" w:space="0" w:color="auto"/>
          </w:divBdr>
          <w:divsChild>
            <w:div w:id="1876458261">
              <w:marLeft w:val="0"/>
              <w:marRight w:val="0"/>
              <w:marTop w:val="0"/>
              <w:marBottom w:val="0"/>
              <w:divBdr>
                <w:top w:val="none" w:sz="0" w:space="0" w:color="auto"/>
                <w:left w:val="none" w:sz="0" w:space="0" w:color="auto"/>
                <w:bottom w:val="none" w:sz="0" w:space="0" w:color="auto"/>
                <w:right w:val="none" w:sz="0" w:space="0" w:color="auto"/>
              </w:divBdr>
              <w:divsChild>
                <w:div w:id="1737780855">
                  <w:marLeft w:val="0"/>
                  <w:marRight w:val="0"/>
                  <w:marTop w:val="0"/>
                  <w:marBottom w:val="0"/>
                  <w:divBdr>
                    <w:top w:val="none" w:sz="0" w:space="0" w:color="auto"/>
                    <w:left w:val="none" w:sz="0" w:space="0" w:color="auto"/>
                    <w:bottom w:val="none" w:sz="0" w:space="0" w:color="auto"/>
                    <w:right w:val="none" w:sz="0" w:space="0" w:color="auto"/>
                  </w:divBdr>
                  <w:divsChild>
                    <w:div w:id="2140486062">
                      <w:marLeft w:val="0"/>
                      <w:marRight w:val="0"/>
                      <w:marTop w:val="0"/>
                      <w:marBottom w:val="0"/>
                      <w:divBdr>
                        <w:top w:val="none" w:sz="0" w:space="0" w:color="auto"/>
                        <w:left w:val="none" w:sz="0" w:space="0" w:color="auto"/>
                        <w:bottom w:val="none" w:sz="0" w:space="0" w:color="auto"/>
                        <w:right w:val="none" w:sz="0" w:space="0" w:color="auto"/>
                      </w:divBdr>
                      <w:divsChild>
                        <w:div w:id="939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176308753">
      <w:bodyDiv w:val="1"/>
      <w:marLeft w:val="0"/>
      <w:marRight w:val="0"/>
      <w:marTop w:val="0"/>
      <w:marBottom w:val="0"/>
      <w:divBdr>
        <w:top w:val="none" w:sz="0" w:space="0" w:color="auto"/>
        <w:left w:val="none" w:sz="0" w:space="0" w:color="auto"/>
        <w:bottom w:val="none" w:sz="0" w:space="0" w:color="auto"/>
        <w:right w:val="none" w:sz="0" w:space="0" w:color="auto"/>
      </w:divBdr>
    </w:div>
    <w:div w:id="1491096156">
      <w:bodyDiv w:val="1"/>
      <w:marLeft w:val="0"/>
      <w:marRight w:val="0"/>
      <w:marTop w:val="0"/>
      <w:marBottom w:val="0"/>
      <w:divBdr>
        <w:top w:val="none" w:sz="0" w:space="0" w:color="auto"/>
        <w:left w:val="none" w:sz="0" w:space="0" w:color="auto"/>
        <w:bottom w:val="none" w:sz="0" w:space="0" w:color="auto"/>
        <w:right w:val="none" w:sz="0" w:space="0" w:color="auto"/>
      </w:divBdr>
    </w:div>
    <w:div w:id="1640308130">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s://poplatky.ceskatelevize.cz/zmena-zako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151</TotalTime>
  <Pages>1</Pages>
  <Words>315</Words>
  <Characters>1864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2175</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8</cp:revision>
  <cp:lastPrinted>2023-04-18T10:42:00Z</cp:lastPrinted>
  <dcterms:created xsi:type="dcterms:W3CDTF">2025-07-02T07:26:00Z</dcterms:created>
  <dcterms:modified xsi:type="dcterms:W3CDTF">2025-07-02T11:50:00Z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