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671A" w14:textId="40960F0B" w:rsidR="00966A9B" w:rsidRDefault="004023BD" w:rsidP="00C10BBD">
      <w:pPr>
        <w:rPr>
          <w:rFonts w:ascii="Verdana" w:hAnsi="Verdana"/>
          <w:b/>
          <w:sz w:val="32"/>
          <w:szCs w:val="32"/>
        </w:rPr>
      </w:pPr>
      <w:r w:rsidRPr="004023BD">
        <w:rPr>
          <w:rFonts w:ascii="Verdana" w:hAnsi="Verdana"/>
          <w:b/>
          <w:sz w:val="32"/>
          <w:szCs w:val="32"/>
        </w:rPr>
        <w:t>Digitální služby České televize rostou</w:t>
      </w:r>
      <w:r>
        <w:rPr>
          <w:rFonts w:ascii="Verdana" w:hAnsi="Verdana"/>
          <w:b/>
          <w:sz w:val="32"/>
          <w:szCs w:val="32"/>
        </w:rPr>
        <w:t xml:space="preserve">. V roce 2025 zaznamenaly </w:t>
      </w:r>
      <w:r w:rsidRPr="004023BD">
        <w:rPr>
          <w:rFonts w:ascii="Verdana" w:hAnsi="Verdana"/>
          <w:b/>
          <w:sz w:val="32"/>
          <w:szCs w:val="32"/>
        </w:rPr>
        <w:t>371 milionů spuštěných videí</w:t>
      </w:r>
    </w:p>
    <w:p w14:paraId="74B4456A" w14:textId="77777777" w:rsidR="004023BD" w:rsidRDefault="004023BD" w:rsidP="00C10BBD">
      <w:pPr>
        <w:rPr>
          <w:rFonts w:ascii="Verdana" w:hAnsi="Verdana"/>
          <w:b/>
          <w:sz w:val="32"/>
          <w:szCs w:val="32"/>
        </w:rPr>
      </w:pPr>
    </w:p>
    <w:p w14:paraId="28390E6A" w14:textId="18CA66AF" w:rsidR="003B26F7" w:rsidRPr="004A43E3" w:rsidRDefault="004023BD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</w:t>
      </w:r>
      <w:r w:rsidR="00206A40">
        <w:rPr>
          <w:rFonts w:ascii="Verdana" w:hAnsi="Verdana"/>
          <w:color w:val="auto"/>
          <w:sz w:val="18"/>
          <w:szCs w:val="18"/>
        </w:rPr>
        <w:t>4</w:t>
      </w:r>
      <w:r>
        <w:rPr>
          <w:rFonts w:ascii="Verdana" w:hAnsi="Verdana"/>
          <w:color w:val="auto"/>
          <w:sz w:val="18"/>
          <w:szCs w:val="18"/>
        </w:rPr>
        <w:t>. ledna 2026</w:t>
      </w:r>
    </w:p>
    <w:p w14:paraId="2FEAB44D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699F6BD" w14:textId="662F7AAA" w:rsidR="00743F00" w:rsidRPr="00743F00" w:rsidRDefault="00743F00" w:rsidP="00743F00">
      <w:pPr>
        <w:pStyle w:val="Textzprvy"/>
        <w:spacing w:after="0"/>
        <w:rPr>
          <w:b/>
        </w:rPr>
      </w:pPr>
      <w:r w:rsidRPr="00743F00">
        <w:rPr>
          <w:b/>
        </w:rPr>
        <w:t xml:space="preserve">Česká televize provozuje šest online produktů – iVysílání a weby ČT24, ČT sport, ČT :D, ČT </w:t>
      </w:r>
      <w:proofErr w:type="spellStart"/>
      <w:r w:rsidRPr="00743F00">
        <w:rPr>
          <w:b/>
        </w:rPr>
        <w:t>edu</w:t>
      </w:r>
      <w:proofErr w:type="spellEnd"/>
      <w:r w:rsidRPr="00743F00">
        <w:rPr>
          <w:b/>
        </w:rPr>
        <w:t xml:space="preserve"> a ČT art. Ty v roce 2025 oslovily v průměru více než 3,1 milionu reálných uživatelů měsíčně. Nejúspěšnějším digitálním produktem bylo iVysílání, které na webu sledovalo v průměru 1,9 milionu uživatelů měsíčně, další více než jeden milion diváků pak využíval televizní aplikace </w:t>
      </w:r>
      <w:proofErr w:type="spellStart"/>
      <w:r w:rsidRPr="00743F00">
        <w:rPr>
          <w:b/>
        </w:rPr>
        <w:t>HbbTV</w:t>
      </w:r>
      <w:proofErr w:type="spellEnd"/>
      <w:r w:rsidRPr="00743F00">
        <w:rPr>
          <w:b/>
        </w:rPr>
        <w:t xml:space="preserve"> a Smart TV. Výrazný zájem zaznamenalo také online zpravodajství ČT24, kde si lidé na webu a v mobilních aplikacích zobrazili více než 119 milionů stránek a volební víkend zde přinesl historicky nejvyšší návštěvnost. Úspěšně odstartovala v minulém roce rovněž nová digitální platforma ČT sport. Digitální služby České televize nabízejí </w:t>
      </w:r>
      <w:r w:rsidR="009422F6">
        <w:rPr>
          <w:b/>
        </w:rPr>
        <w:t xml:space="preserve">také další obsah, </w:t>
      </w:r>
      <w:r w:rsidRPr="00743F00">
        <w:rPr>
          <w:b/>
        </w:rPr>
        <w:t xml:space="preserve">například hry pro děti z Déčka nebo vzdělávací videa ČT </w:t>
      </w:r>
      <w:proofErr w:type="spellStart"/>
      <w:r w:rsidRPr="00743F00">
        <w:rPr>
          <w:b/>
        </w:rPr>
        <w:t>edu</w:t>
      </w:r>
      <w:proofErr w:type="spellEnd"/>
      <w:r w:rsidRPr="00743F00">
        <w:rPr>
          <w:b/>
        </w:rPr>
        <w:t xml:space="preserve"> a dlouhodobě se prosazují i v odborných oceněních.</w:t>
      </w:r>
    </w:p>
    <w:p w14:paraId="439A8B99" w14:textId="77777777" w:rsidR="003B26F7" w:rsidRDefault="003B26F7" w:rsidP="00576FC6">
      <w:pPr>
        <w:pStyle w:val="Textzprvy"/>
        <w:spacing w:after="0"/>
      </w:pPr>
    </w:p>
    <w:p w14:paraId="275A7D64" w14:textId="0ABF0A75" w:rsidR="00966A9B" w:rsidRDefault="004023BD" w:rsidP="00F85ECB">
      <w:pPr>
        <w:pStyle w:val="Textzprvy"/>
        <w:spacing w:after="0"/>
      </w:pPr>
      <w:r w:rsidRPr="004023BD">
        <w:rPr>
          <w:i/>
          <w:iCs/>
        </w:rPr>
        <w:t>„</w:t>
      </w:r>
      <w:r w:rsidR="005F21F5">
        <w:rPr>
          <w:i/>
          <w:iCs/>
        </w:rPr>
        <w:t>Digitální</w:t>
      </w:r>
      <w:r w:rsidR="005F21F5" w:rsidRPr="005F21F5">
        <w:rPr>
          <w:i/>
          <w:iCs/>
        </w:rPr>
        <w:t xml:space="preserve"> produkty </w:t>
      </w:r>
      <w:r w:rsidR="005F21F5">
        <w:rPr>
          <w:i/>
          <w:iCs/>
        </w:rPr>
        <w:t>České televize</w:t>
      </w:r>
      <w:r w:rsidR="005F21F5" w:rsidRPr="005F21F5">
        <w:rPr>
          <w:i/>
          <w:iCs/>
        </w:rPr>
        <w:t xml:space="preserve"> oslovují každý měsíc </w:t>
      </w:r>
      <w:r w:rsidR="005F21F5">
        <w:rPr>
          <w:i/>
          <w:iCs/>
        </w:rPr>
        <w:t>svými</w:t>
      </w:r>
      <w:r w:rsidR="005F21F5" w:rsidRPr="005F21F5">
        <w:rPr>
          <w:i/>
          <w:iCs/>
        </w:rPr>
        <w:t xml:space="preserve"> službami 3 miliony uživatelů, což činí 34,1</w:t>
      </w:r>
      <w:r w:rsidR="005F21F5">
        <w:rPr>
          <w:i/>
          <w:iCs/>
        </w:rPr>
        <w:t xml:space="preserve">0 </w:t>
      </w:r>
      <w:r w:rsidR="005F21F5" w:rsidRPr="005F21F5">
        <w:rPr>
          <w:i/>
          <w:iCs/>
        </w:rPr>
        <w:t xml:space="preserve">% populace starší </w:t>
      </w:r>
      <w:r w:rsidR="005F21F5">
        <w:rPr>
          <w:i/>
          <w:iCs/>
        </w:rPr>
        <w:t xml:space="preserve">deseti let. </w:t>
      </w:r>
      <w:r w:rsidRPr="004023BD">
        <w:rPr>
          <w:i/>
          <w:iCs/>
        </w:rPr>
        <w:t>Tento výsledek potvrzuje, že digitální prostředí je pro Českou televizi plnohodnotným pilířem veřejné služby</w:t>
      </w:r>
      <w:r w:rsidR="00A5597B">
        <w:rPr>
          <w:i/>
          <w:iCs/>
        </w:rPr>
        <w:t>. A</w:t>
      </w:r>
      <w:r w:rsidRPr="004023BD">
        <w:rPr>
          <w:i/>
          <w:iCs/>
        </w:rPr>
        <w:t>ť už jde o zpravodajství, sport, původní tvorbu, nebo bezpečný a vzdělávací obsah pro děti. Diváci stále častěji sledují náš obsah kdykoli a na zařízeních, která jim vyhovují, a Česká televize na tuto změnu dlouhodobě reaguje systematickým rozvojem svých online platforem,“</w:t>
      </w:r>
      <w:r>
        <w:t xml:space="preserve"> říká generální ředitel České televize </w:t>
      </w:r>
      <w:r w:rsidRPr="004023BD">
        <w:rPr>
          <w:b/>
          <w:bCs/>
        </w:rPr>
        <w:t>Hynek Chudárek</w:t>
      </w:r>
      <w:r>
        <w:t>.</w:t>
      </w:r>
    </w:p>
    <w:p w14:paraId="018453BC" w14:textId="77777777" w:rsidR="00743F00" w:rsidRDefault="00743F00" w:rsidP="00F85ECB">
      <w:pPr>
        <w:pStyle w:val="Textzprvy"/>
        <w:spacing w:after="0"/>
      </w:pPr>
    </w:p>
    <w:p w14:paraId="1C42B049" w14:textId="3B085953" w:rsidR="00743F00" w:rsidRDefault="00743F00" w:rsidP="00F85ECB">
      <w:pPr>
        <w:pStyle w:val="Textzprvy"/>
        <w:spacing w:after="0"/>
        <w:rPr>
          <w:b/>
          <w:bCs/>
        </w:rPr>
      </w:pPr>
      <w:r w:rsidRPr="00F85ECB">
        <w:rPr>
          <w:b/>
          <w:bCs/>
        </w:rPr>
        <w:t>iVysílání</w:t>
      </w:r>
      <w:r w:rsidR="00F85ECB" w:rsidRPr="00F85ECB">
        <w:rPr>
          <w:b/>
          <w:bCs/>
        </w:rPr>
        <w:t xml:space="preserve"> hlásí </w:t>
      </w:r>
      <w:r w:rsidRPr="00F85ECB">
        <w:rPr>
          <w:b/>
          <w:bCs/>
        </w:rPr>
        <w:t>silný zájem o původní i zahraniční tvorbu</w:t>
      </w:r>
    </w:p>
    <w:p w14:paraId="40BEBD8E" w14:textId="77777777" w:rsidR="004F572B" w:rsidRPr="00F85ECB" w:rsidRDefault="004F572B" w:rsidP="00F85ECB">
      <w:pPr>
        <w:pStyle w:val="Textzprvy"/>
        <w:spacing w:after="0"/>
        <w:rPr>
          <w:b/>
          <w:bCs/>
        </w:rPr>
      </w:pPr>
    </w:p>
    <w:p w14:paraId="343B6D4C" w14:textId="5C192055" w:rsidR="00743F00" w:rsidRDefault="00743F00" w:rsidP="00F85ECB">
      <w:pPr>
        <w:pStyle w:val="Textzprvy"/>
        <w:spacing w:after="0"/>
      </w:pPr>
      <w:r>
        <w:t xml:space="preserve">Diváci </w:t>
      </w:r>
      <w:r w:rsidRPr="00A5597B">
        <w:rPr>
          <w:b/>
          <w:bCs/>
        </w:rPr>
        <w:t>iVysílání</w:t>
      </w:r>
      <w:r>
        <w:t xml:space="preserve"> si v uplynulém roce spustili celkem 285 milionů videí. Necelá polovina všech spuštění proběhla prostřednictvím televizních aplikací. Mezi nejsledovanější pořady patřily seriály OKTOPUS 2 (4,8 milionu spuštění</w:t>
      </w:r>
      <w:r w:rsidR="00A5241E">
        <w:t>, 221 tisíc diváků</w:t>
      </w:r>
      <w:r>
        <w:t>), Děcko (2,9 milionu spuštění</w:t>
      </w:r>
      <w:r w:rsidR="00A5241E">
        <w:t>, 160 tisíc diváků</w:t>
      </w:r>
      <w:r>
        <w:t>), Ratolesti (2,9 milionu spuštění</w:t>
      </w:r>
      <w:r w:rsidR="00A5241E">
        <w:t>, 154 tisíc diváků</w:t>
      </w:r>
      <w:r>
        <w:t>), Zločin na dobré cestě (2,4 milionu spuštění</w:t>
      </w:r>
      <w:r w:rsidR="00A5241E">
        <w:t>, 112 tisíc diváků</w:t>
      </w:r>
      <w:r>
        <w:t>) a Limity (1,7 milionu spuštění</w:t>
      </w:r>
      <w:r w:rsidR="00A5241E">
        <w:t>, 120 tisíc diváků</w:t>
      </w:r>
      <w:r>
        <w:t>). Divácký ohlas zaznamenala také štědrovečerní pohádka Záhada strašidelného zámku (290 tisíc spuštění</w:t>
      </w:r>
      <w:r w:rsidR="00A5241E">
        <w:t>, 140 tisíc diváků</w:t>
      </w:r>
      <w:r>
        <w:t>) a film Máma (256 tisíc spuštění</w:t>
      </w:r>
      <w:r w:rsidR="00A5241E">
        <w:t>, 115 tisíc diváků</w:t>
      </w:r>
      <w:r>
        <w:t>).</w:t>
      </w:r>
    </w:p>
    <w:p w14:paraId="2FD1B600" w14:textId="77777777" w:rsidR="004F572B" w:rsidRDefault="004F572B" w:rsidP="00F85ECB">
      <w:pPr>
        <w:pStyle w:val="Textzprvy"/>
        <w:spacing w:after="0"/>
      </w:pPr>
    </w:p>
    <w:p w14:paraId="3F97BCE9" w14:textId="6DD1504A" w:rsidR="00743F00" w:rsidRDefault="00743F00" w:rsidP="00F85ECB">
      <w:pPr>
        <w:pStyle w:val="Textzprvy"/>
        <w:spacing w:after="0"/>
      </w:pPr>
      <w:r>
        <w:t>Velký zájem na iVysílání dlouhodobě sklízí i zahraniční seriály, které jsou divákům k dispozici kompletně na jeden zátah souběžně s lineárním vysíláním. Příkladem je divácky oblíbený Hercule Poirot s</w:t>
      </w:r>
      <w:r w:rsidR="005F21F5">
        <w:t xml:space="preserve"> celkem </w:t>
      </w:r>
      <w:r>
        <w:t>3,8 milionu spuštění</w:t>
      </w:r>
      <w:r w:rsidR="00FF45EF">
        <w:t>mi</w:t>
      </w:r>
      <w:r w:rsidR="005F21F5">
        <w:t xml:space="preserve"> a dále 29 tisíci diváky na díl</w:t>
      </w:r>
      <w:r>
        <w:t>. iVysílání zároveň nabízí také online-</w:t>
      </w:r>
      <w:proofErr w:type="spellStart"/>
      <w:r>
        <w:t>only</w:t>
      </w:r>
      <w:proofErr w:type="spellEnd"/>
      <w:r>
        <w:t xml:space="preserve"> premiéry vybraných evropských seriálů, například skandinávsk</w:t>
      </w:r>
      <w:r w:rsidR="005F21F5">
        <w:t>ý</w:t>
      </w:r>
      <w:r>
        <w:t xml:space="preserve"> titul Exit, </w:t>
      </w:r>
      <w:r w:rsidR="005F21F5">
        <w:t>který</w:t>
      </w:r>
      <w:r>
        <w:t xml:space="preserve"> zaznamenal </w:t>
      </w:r>
      <w:r w:rsidR="005F21F5">
        <w:t xml:space="preserve">celkem </w:t>
      </w:r>
      <w:r>
        <w:t>1,5 milionu spuštění</w:t>
      </w:r>
      <w:r w:rsidR="005F21F5">
        <w:t xml:space="preserve"> a dále 40 tisíc diváků na jeden díl</w:t>
      </w:r>
      <w:r>
        <w:t>.</w:t>
      </w:r>
    </w:p>
    <w:p w14:paraId="7EEE91F7" w14:textId="77777777" w:rsidR="004F572B" w:rsidRDefault="004F572B" w:rsidP="00F85ECB">
      <w:pPr>
        <w:pStyle w:val="Textzprvy"/>
        <w:spacing w:after="0"/>
      </w:pPr>
    </w:p>
    <w:p w14:paraId="5BBF2F47" w14:textId="32794EDA" w:rsidR="00743F00" w:rsidRDefault="00743F00" w:rsidP="00F85ECB">
      <w:pPr>
        <w:pStyle w:val="Textzprvy"/>
        <w:spacing w:after="0"/>
      </w:pPr>
      <w:r>
        <w:t>Součástí nabídky jsou i žánrové objevy. Od historických dramat, jako je Viktorie (</w:t>
      </w:r>
      <w:r w:rsidR="005F21F5">
        <w:t xml:space="preserve">celkem </w:t>
      </w:r>
      <w:r>
        <w:t>1 milion spuštění</w:t>
      </w:r>
      <w:r w:rsidR="005F21F5">
        <w:t>, 19 tisíc diváků na díl</w:t>
      </w:r>
      <w:r>
        <w:t>), přes kriminální seriály typu Přiznání (</w:t>
      </w:r>
      <w:r w:rsidR="005F21F5">
        <w:t xml:space="preserve">celkem </w:t>
      </w:r>
      <w:r>
        <w:t>700 tisíc spuštění</w:t>
      </w:r>
      <w:r w:rsidR="005F21F5">
        <w:t>, 66 tisíc diváků na díl</w:t>
      </w:r>
      <w:r>
        <w:t>) až po komediální evropské dystopické sci-fi Arkádie (</w:t>
      </w:r>
      <w:r w:rsidR="005F21F5">
        <w:t xml:space="preserve">celkem </w:t>
      </w:r>
      <w:r>
        <w:t>600 tisíc spuštění</w:t>
      </w:r>
      <w:r w:rsidR="005F21F5">
        <w:t>, 20 tisíc diváků na díl</w:t>
      </w:r>
      <w:r>
        <w:t>). Úspěšný byl rovněž dětský a rodinný obsah, například seriály Čtyřlístek (</w:t>
      </w:r>
      <w:r w:rsidR="005F21F5">
        <w:t xml:space="preserve">celkem </w:t>
      </w:r>
      <w:r>
        <w:t>1,1 milionu spuštění</w:t>
      </w:r>
      <w:r w:rsidR="005F21F5">
        <w:t>, 125 tisíc diváků na díl</w:t>
      </w:r>
      <w:r>
        <w:t>) nebo Elin supertajný deník (</w:t>
      </w:r>
      <w:r w:rsidR="005F21F5">
        <w:t xml:space="preserve">celkem </w:t>
      </w:r>
      <w:r>
        <w:t>700 tisíc spuštění</w:t>
      </w:r>
      <w:r w:rsidR="005F21F5">
        <w:t>, 36 tisíc diváků na díl</w:t>
      </w:r>
      <w:r>
        <w:t>).</w:t>
      </w:r>
    </w:p>
    <w:p w14:paraId="62A4642E" w14:textId="77777777" w:rsidR="005F21F5" w:rsidRDefault="005F21F5" w:rsidP="00F85ECB">
      <w:pPr>
        <w:pStyle w:val="Textzprvy"/>
        <w:spacing w:after="0"/>
      </w:pPr>
    </w:p>
    <w:p w14:paraId="5497A1AD" w14:textId="77777777" w:rsidR="005F21F5" w:rsidRDefault="005F21F5" w:rsidP="00F85ECB">
      <w:pPr>
        <w:pStyle w:val="Textzprvy"/>
        <w:spacing w:after="0"/>
      </w:pPr>
    </w:p>
    <w:p w14:paraId="704AC5ED" w14:textId="77777777" w:rsidR="005F21F5" w:rsidRDefault="005F21F5" w:rsidP="00F85ECB">
      <w:pPr>
        <w:pStyle w:val="Textzprvy"/>
        <w:spacing w:after="0"/>
      </w:pPr>
    </w:p>
    <w:p w14:paraId="57752AF9" w14:textId="77777777" w:rsidR="005F21F5" w:rsidRDefault="005F21F5" w:rsidP="00F85ECB">
      <w:pPr>
        <w:pStyle w:val="Textzprvy"/>
        <w:spacing w:after="0"/>
      </w:pPr>
    </w:p>
    <w:p w14:paraId="4A11556F" w14:textId="77777777" w:rsidR="00F85ECB" w:rsidRDefault="00F85ECB" w:rsidP="00F85ECB">
      <w:pPr>
        <w:pStyle w:val="Textzprvy"/>
        <w:spacing w:after="0"/>
      </w:pPr>
    </w:p>
    <w:p w14:paraId="73F2186C" w14:textId="77777777" w:rsidR="00F85ECB" w:rsidRDefault="00F85ECB" w:rsidP="00F85ECB">
      <w:pPr>
        <w:pStyle w:val="Textzprvy"/>
        <w:spacing w:after="0"/>
        <w:rPr>
          <w:b/>
          <w:bCs/>
        </w:rPr>
      </w:pPr>
      <w:r w:rsidRPr="00F85ECB">
        <w:rPr>
          <w:b/>
          <w:bCs/>
        </w:rPr>
        <w:lastRenderedPageBreak/>
        <w:t>Rekordní úspěch online zpravodajství ČT24</w:t>
      </w:r>
    </w:p>
    <w:p w14:paraId="16668015" w14:textId="77777777" w:rsidR="00F85ECB" w:rsidRPr="00F85ECB" w:rsidRDefault="00F85ECB" w:rsidP="00F85ECB">
      <w:pPr>
        <w:pStyle w:val="Textzprvy"/>
        <w:spacing w:after="0"/>
        <w:rPr>
          <w:b/>
          <w:bCs/>
        </w:rPr>
      </w:pPr>
    </w:p>
    <w:p w14:paraId="299FCDD0" w14:textId="3D6DDC3E" w:rsidR="00F85ECB" w:rsidRDefault="00F85ECB" w:rsidP="00F85ECB">
      <w:pPr>
        <w:pStyle w:val="Textzprvy"/>
        <w:spacing w:after="0"/>
      </w:pPr>
      <w:r w:rsidRPr="00F85ECB">
        <w:t xml:space="preserve">Na zpravodajskou platformu </w:t>
      </w:r>
      <w:r w:rsidRPr="00F85ECB">
        <w:rPr>
          <w:b/>
          <w:bCs/>
        </w:rPr>
        <w:t>ČT24</w:t>
      </w:r>
      <w:r w:rsidRPr="00F85ECB">
        <w:t xml:space="preserve"> přišlo v roce 2025 v průměru 1,6 milionu uživatelů měsíčně. Počet zobrazených stránek byl meziročně o 7 </w:t>
      </w:r>
      <w:r w:rsidR="000F5C69">
        <w:t xml:space="preserve">% </w:t>
      </w:r>
      <w:r w:rsidRPr="00F85ECB">
        <w:t xml:space="preserve">vyšší než v roce 2024, celkový strávený čas vzrostl o 11 </w:t>
      </w:r>
      <w:r w:rsidR="000F5C69">
        <w:t>%</w:t>
      </w:r>
      <w:r>
        <w:t>.</w:t>
      </w:r>
      <w:r w:rsidRPr="00F85ECB">
        <w:t xml:space="preserve"> Nejsilnějším měsícem byl říjen, kdy se konaly volby</w:t>
      </w:r>
      <w:r w:rsidR="00A17745">
        <w:t xml:space="preserve"> do Poslanecké sněmovny Parlamentu</w:t>
      </w:r>
      <w:r>
        <w:t xml:space="preserve">, </w:t>
      </w:r>
      <w:r w:rsidRPr="00F85ECB">
        <w:t xml:space="preserve">platformu tehdy navštívilo 1,8 milionu uživatelů, kteří si zobrazili 11,1 milionu stránek. Samotná volební sobota </w:t>
      </w:r>
      <w:r>
        <w:t xml:space="preserve">4. října </w:t>
      </w:r>
      <w:r w:rsidRPr="00F85ECB">
        <w:t>se stala historicky nejsilnějším dnem online zpravodajství ČT24 s téměř 3 miliony zobrazených stránek.</w:t>
      </w:r>
    </w:p>
    <w:p w14:paraId="4C706E22" w14:textId="77777777" w:rsidR="00F85ECB" w:rsidRPr="00F85ECB" w:rsidRDefault="00F85ECB" w:rsidP="00F85ECB">
      <w:pPr>
        <w:pStyle w:val="Textzprvy"/>
        <w:spacing w:after="0"/>
      </w:pPr>
    </w:p>
    <w:p w14:paraId="72A771A9" w14:textId="77777777" w:rsidR="00F85ECB" w:rsidRDefault="00F85ECB" w:rsidP="00F85ECB">
      <w:pPr>
        <w:pStyle w:val="Textzprvy"/>
        <w:spacing w:after="0"/>
      </w:pPr>
      <w:r w:rsidRPr="00F85ECB">
        <w:t>Mezi nejčtenější obsah patřily články o výsledcích parlamentních voleb a témata spojená s dostupností bezpečných krytů. Webové stránky a mobilní aplikace ČT24 zaznamenaly v roce 2025 více než 56 milionů zobrazení zpravodajských článků. Uživatelé si na webu a v mobilních aplikacích ČT24 spustili více než 39 milionů videí, z nichž 87 % tvořilo živé vysílání. Mezi nejčastěji sledované pořady patřily Studio ČT24, Zprávy a Události.</w:t>
      </w:r>
    </w:p>
    <w:p w14:paraId="5EAF727D" w14:textId="77777777" w:rsidR="00F85ECB" w:rsidRPr="00F85ECB" w:rsidRDefault="00F85ECB" w:rsidP="00F85ECB">
      <w:pPr>
        <w:pStyle w:val="Textzprvy"/>
        <w:spacing w:after="0"/>
      </w:pPr>
    </w:p>
    <w:p w14:paraId="1CC05D14" w14:textId="6E4C9D71" w:rsidR="00F85ECB" w:rsidRDefault="00F85ECB" w:rsidP="00F85ECB">
      <w:pPr>
        <w:pStyle w:val="Textzprvy"/>
        <w:spacing w:after="0"/>
      </w:pPr>
      <w:r w:rsidRPr="00F85ECB">
        <w:t xml:space="preserve">V polovině února představila ČT24 novou verzi své mobilní aplikace s moderním uživatelským prostředím, novou sekcí krátkých zpráv, widgety na plochu i tmavým režimem. V průběhu roku 2025 zaznamenala aplikace meziroční nárůst návštěvnosti o 19 </w:t>
      </w:r>
      <w:r w:rsidR="000F5C69">
        <w:t>%</w:t>
      </w:r>
      <w:r w:rsidR="007B2190">
        <w:t>.</w:t>
      </w:r>
      <w:r w:rsidRPr="00F85ECB">
        <w:t xml:space="preserve"> V kategorii Zpravodajství a publicistika získal web ČT24 Cenu českého internetu Křišťálová lupa za rok 2025, stejně jako v </w:t>
      </w:r>
      <w:r w:rsidR="007B2190">
        <w:t>předchozím</w:t>
      </w:r>
      <w:r w:rsidRPr="00F85ECB">
        <w:t xml:space="preserve"> roce.</w:t>
      </w:r>
    </w:p>
    <w:p w14:paraId="6F4C052B" w14:textId="77777777" w:rsidR="007B2190" w:rsidRDefault="007B2190" w:rsidP="00F85ECB">
      <w:pPr>
        <w:pStyle w:val="Textzprvy"/>
        <w:spacing w:after="0"/>
      </w:pPr>
    </w:p>
    <w:p w14:paraId="0DD116AF" w14:textId="16A9768A" w:rsidR="007B2190" w:rsidRDefault="007B2190" w:rsidP="007B2190">
      <w:pPr>
        <w:pStyle w:val="Textzprvy"/>
        <w:spacing w:after="0"/>
        <w:rPr>
          <w:b/>
          <w:bCs/>
        </w:rPr>
      </w:pPr>
      <w:r>
        <w:rPr>
          <w:b/>
          <w:bCs/>
        </w:rPr>
        <w:t>Rok 2025 přinesl novou platformu pro ČT sport</w:t>
      </w:r>
    </w:p>
    <w:p w14:paraId="149FAEEF" w14:textId="77777777" w:rsidR="007B2190" w:rsidRPr="007B2190" w:rsidRDefault="007B2190" w:rsidP="007B2190">
      <w:pPr>
        <w:pStyle w:val="Textzprvy"/>
        <w:spacing w:after="0"/>
        <w:rPr>
          <w:b/>
          <w:bCs/>
        </w:rPr>
      </w:pPr>
    </w:p>
    <w:p w14:paraId="295FDE2A" w14:textId="16C5478B" w:rsidR="007B2190" w:rsidRDefault="007B2190" w:rsidP="007B2190">
      <w:pPr>
        <w:pStyle w:val="Textzprvy"/>
        <w:spacing w:after="0"/>
      </w:pPr>
      <w:r w:rsidRPr="007B2190">
        <w:t xml:space="preserve">Na web </w:t>
      </w:r>
      <w:r w:rsidRPr="007B2190">
        <w:rPr>
          <w:b/>
          <w:bCs/>
        </w:rPr>
        <w:t xml:space="preserve">ČT sport </w:t>
      </w:r>
      <w:r w:rsidRPr="007B2190">
        <w:t xml:space="preserve">přišlo v roce 2025 měsíčně v průměru 643 tisíc uživatelů, kteří si zobrazili 4,4 milionu stránek měsíčně. Mobilní aplikace a prostředí </w:t>
      </w:r>
      <w:proofErr w:type="spellStart"/>
      <w:r w:rsidRPr="007B2190">
        <w:t>HbbTV</w:t>
      </w:r>
      <w:proofErr w:type="spellEnd"/>
      <w:r w:rsidRPr="007B2190">
        <w:t xml:space="preserve"> oslovily o další polovinu uživatelů více. Nejsilnějším měsícem byl květen, kdy se konalo mistrovství světa v</w:t>
      </w:r>
      <w:r>
        <w:t> </w:t>
      </w:r>
      <w:r w:rsidRPr="007B2190">
        <w:t>hokeji</w:t>
      </w:r>
      <w:r>
        <w:t>,</w:t>
      </w:r>
      <w:r w:rsidRPr="007B2190">
        <w:t xml:space="preserve"> tehdy web navštívilo téměř 1,3 milionu uživatelů a zaznamenal 15 milionů zobrazených stránek.</w:t>
      </w:r>
    </w:p>
    <w:p w14:paraId="7077A397" w14:textId="77777777" w:rsidR="007B2190" w:rsidRPr="007B2190" w:rsidRDefault="007B2190" w:rsidP="007B2190">
      <w:pPr>
        <w:pStyle w:val="Textzprvy"/>
        <w:spacing w:after="0"/>
      </w:pPr>
    </w:p>
    <w:p w14:paraId="5DDAB9A3" w14:textId="77777777" w:rsidR="007B2190" w:rsidRDefault="007B2190" w:rsidP="007B2190">
      <w:pPr>
        <w:pStyle w:val="Textzprvy"/>
        <w:spacing w:after="0"/>
      </w:pPr>
      <w:r w:rsidRPr="007B2190">
        <w:t xml:space="preserve">Na konci roku odstartovala zásadně modernizovaná digitální platforma ČT sport na webu, v mobilních aplikacích i v prostředí </w:t>
      </w:r>
      <w:proofErr w:type="spellStart"/>
      <w:r w:rsidRPr="007B2190">
        <w:t>HbbTV</w:t>
      </w:r>
      <w:proofErr w:type="spellEnd"/>
      <w:r w:rsidRPr="007B2190">
        <w:t>. Nová podoba přinesla rychlejší přístup k živým přenosům, přehlednější program a lepší orientaci ve sportovním obsahu České televize. Pozitivní reakce uživatelů potvrzuje i významný meziroční nárůst indexu spokojenosti, který Česká televize průběžně sleduje.</w:t>
      </w:r>
    </w:p>
    <w:p w14:paraId="7E970FEB" w14:textId="77777777" w:rsidR="007B2190" w:rsidRPr="007B2190" w:rsidRDefault="007B2190" w:rsidP="007B2190">
      <w:pPr>
        <w:pStyle w:val="Textzprvy"/>
        <w:spacing w:after="0"/>
      </w:pPr>
    </w:p>
    <w:p w14:paraId="2B108DE3" w14:textId="77777777" w:rsidR="007B2190" w:rsidRDefault="007B2190" w:rsidP="007B2190">
      <w:pPr>
        <w:pStyle w:val="Textzprvy"/>
        <w:spacing w:after="0"/>
      </w:pPr>
      <w:r w:rsidRPr="007B2190">
        <w:t>V rámci online platforem proběhlo celkem 2 444 extra live stream přenosů, převážně sportovních událostí. V souhrnu šlo o 5 672 hodin živého vysílání, tedy 236 dní nepřetržitého live streamu, což představuje téměř dvacetiprocentní nárůst oproti roku 2024. Diváci si přitom mohli často vybírat i ze sedmi souběžných extra přenosů nad rámec terestrického vysílání.</w:t>
      </w:r>
    </w:p>
    <w:p w14:paraId="3E174B64" w14:textId="77777777" w:rsidR="007B2190" w:rsidRDefault="007B2190" w:rsidP="007B2190">
      <w:pPr>
        <w:pStyle w:val="Textzprvy"/>
        <w:spacing w:after="0"/>
      </w:pPr>
    </w:p>
    <w:p w14:paraId="23FE4128" w14:textId="11F6981C" w:rsidR="007B2190" w:rsidRDefault="007B2190" w:rsidP="007B2190">
      <w:pPr>
        <w:pStyle w:val="Textzprvy"/>
        <w:spacing w:after="0"/>
        <w:rPr>
          <w:b/>
          <w:bCs/>
        </w:rPr>
      </w:pPr>
      <w:r w:rsidRPr="007B2190">
        <w:rPr>
          <w:b/>
          <w:bCs/>
        </w:rPr>
        <w:t xml:space="preserve">YouTube a </w:t>
      </w:r>
      <w:proofErr w:type="spellStart"/>
      <w:r w:rsidRPr="007B2190">
        <w:rPr>
          <w:b/>
          <w:bCs/>
        </w:rPr>
        <w:t>podcasty</w:t>
      </w:r>
      <w:proofErr w:type="spellEnd"/>
    </w:p>
    <w:p w14:paraId="0B676EE5" w14:textId="77777777" w:rsidR="007B2190" w:rsidRPr="007B2190" w:rsidRDefault="007B2190" w:rsidP="007B2190">
      <w:pPr>
        <w:pStyle w:val="Textzprvy"/>
        <w:spacing w:after="0"/>
        <w:rPr>
          <w:b/>
          <w:bCs/>
        </w:rPr>
      </w:pPr>
    </w:p>
    <w:p w14:paraId="6C16584C" w14:textId="2AFB4E50" w:rsidR="007B2190" w:rsidRDefault="007B2190" w:rsidP="007B2190">
      <w:pPr>
        <w:pStyle w:val="Textzprvy"/>
        <w:spacing w:after="0"/>
      </w:pPr>
      <w:r w:rsidRPr="007B2190">
        <w:rPr>
          <w:b/>
          <w:bCs/>
        </w:rPr>
        <w:t>YouTube</w:t>
      </w:r>
      <w:r w:rsidRPr="007B2190">
        <w:t xml:space="preserve"> patří mezi největší streamovací platformy na světě, a proto zde Česká televize systematicky buduje svou komunitu. V roce 2025 spustila sedm nových YouTube kanálů</w:t>
      </w:r>
      <w:r w:rsidR="00B54F9A">
        <w:t xml:space="preserve">: </w:t>
      </w:r>
      <w:r w:rsidRPr="007B2190">
        <w:t xml:space="preserve">Dokumenty České televize, ČT </w:t>
      </w:r>
      <w:proofErr w:type="spellStart"/>
      <w:r w:rsidRPr="007B2190">
        <w:t>edu</w:t>
      </w:r>
      <w:proofErr w:type="spellEnd"/>
      <w:r w:rsidRPr="007B2190">
        <w:t xml:space="preserve">, Reportéři ČT, Déčko, Archiv ČT, ČT </w:t>
      </w:r>
      <w:r w:rsidRPr="00B54F9A">
        <w:t>a</w:t>
      </w:r>
      <w:r w:rsidRPr="007B2190">
        <w:t>rt a Ještě víc iVysílání. Celkem tak</w:t>
      </w:r>
      <w:r w:rsidR="00B54F9A">
        <w:t xml:space="preserve"> ČT</w:t>
      </w:r>
      <w:r w:rsidRPr="007B2190">
        <w:t xml:space="preserve"> provozuje </w:t>
      </w:r>
      <w:r w:rsidRPr="00B54F9A">
        <w:t>dvanáct</w:t>
      </w:r>
      <w:r w:rsidRPr="007B2190">
        <w:t xml:space="preserve"> YouTube kanálů. </w:t>
      </w:r>
      <w:r w:rsidRPr="00B54F9A">
        <w:t>Tím vlajkovým</w:t>
      </w:r>
      <w:r w:rsidRPr="007B2190">
        <w:t xml:space="preserve"> zůstává YouTube iVysílání, kde bylo v roce 2025 publikováno 200 videí, která zaznamenala 7,4 milionu spuštění. Na kanálu Dokumenty České televize jsou poprvé publikovány televizní pořady v plné délce, například cyklus Zóna zájmu, který oslovuje nové publikum.</w:t>
      </w:r>
    </w:p>
    <w:p w14:paraId="57892BF0" w14:textId="77777777" w:rsidR="007B2190" w:rsidRPr="007B2190" w:rsidRDefault="007B2190" w:rsidP="007B2190">
      <w:pPr>
        <w:pStyle w:val="Textzprvy"/>
        <w:spacing w:after="0"/>
      </w:pPr>
    </w:p>
    <w:p w14:paraId="3046415D" w14:textId="36EB291D" w:rsidR="007B2190" w:rsidRPr="00B54F9A" w:rsidRDefault="007B2190" w:rsidP="007B2190">
      <w:pPr>
        <w:pStyle w:val="Textzprvy"/>
        <w:spacing w:after="0"/>
      </w:pPr>
      <w:r w:rsidRPr="007B2190">
        <w:t xml:space="preserve">Česká televize zároveň rozšiřuje nabídku </w:t>
      </w:r>
      <w:proofErr w:type="spellStart"/>
      <w:r w:rsidRPr="007B2190">
        <w:rPr>
          <w:b/>
          <w:bCs/>
        </w:rPr>
        <w:t>podcastů</w:t>
      </w:r>
      <w:proofErr w:type="spellEnd"/>
      <w:r w:rsidRPr="007B2190">
        <w:t xml:space="preserve">, a to nejen na iVysílání, ale i na dalších platformách, jako jsou Apple </w:t>
      </w:r>
      <w:proofErr w:type="spellStart"/>
      <w:r w:rsidRPr="007B2190">
        <w:t>Podcasts</w:t>
      </w:r>
      <w:proofErr w:type="spellEnd"/>
      <w:r w:rsidRPr="007B2190">
        <w:t>, Spotify nebo YouTube. Mezi nejúspěšnější kategorie patří pohádky ČT</w:t>
      </w:r>
      <w:r w:rsidR="00604279">
        <w:t xml:space="preserve"> </w:t>
      </w:r>
      <w:r w:rsidRPr="007B2190">
        <w:t xml:space="preserve">:D, pořady </w:t>
      </w:r>
      <w:r w:rsidR="00604279">
        <w:t xml:space="preserve">vědecké </w:t>
      </w:r>
      <w:r w:rsidRPr="007B2190">
        <w:t>redakce ČT24, rozhovorové formáty Interview ČT</w:t>
      </w:r>
      <w:r w:rsidR="00CA41D8" w:rsidRPr="00B54F9A">
        <w:t>24</w:t>
      </w:r>
      <w:r w:rsidRPr="007B2190">
        <w:t xml:space="preserve"> i menší projekty, například Velký vlastenecký </w:t>
      </w:r>
      <w:proofErr w:type="spellStart"/>
      <w:r w:rsidRPr="007B2190">
        <w:t>podcast</w:t>
      </w:r>
      <w:proofErr w:type="spellEnd"/>
      <w:r w:rsidRPr="007B2190">
        <w:t xml:space="preserve"> nebo série sportovních </w:t>
      </w:r>
      <w:proofErr w:type="spellStart"/>
      <w:r w:rsidRPr="007B2190">
        <w:t>videocastů</w:t>
      </w:r>
      <w:proofErr w:type="spellEnd"/>
      <w:r w:rsidRPr="007B2190">
        <w:t xml:space="preserve"> k významným událostem roku 2025. Celková konzumace </w:t>
      </w:r>
      <w:proofErr w:type="spellStart"/>
      <w:r w:rsidRPr="007B2190">
        <w:t>podcastového</w:t>
      </w:r>
      <w:proofErr w:type="spellEnd"/>
      <w:r w:rsidRPr="007B2190">
        <w:t xml:space="preserve"> obsahu v</w:t>
      </w:r>
      <w:r w:rsidR="00CA41D8" w:rsidRPr="00B54F9A">
        <w:t> minulém roce</w:t>
      </w:r>
      <w:r w:rsidRPr="007B2190">
        <w:t xml:space="preserve"> přesáhla 7 milionů spuštění.</w:t>
      </w:r>
    </w:p>
    <w:p w14:paraId="452D518C" w14:textId="77777777" w:rsidR="00627B74" w:rsidRDefault="00627B74" w:rsidP="00CA41D8">
      <w:pPr>
        <w:pStyle w:val="Textzprvy"/>
        <w:spacing w:after="0"/>
        <w:rPr>
          <w:b/>
          <w:bCs/>
        </w:rPr>
      </w:pPr>
    </w:p>
    <w:p w14:paraId="72F20ED5" w14:textId="5C690D3A" w:rsidR="00CA41D8" w:rsidRDefault="00CA41D8" w:rsidP="00CA41D8">
      <w:pPr>
        <w:pStyle w:val="Textzprvy"/>
        <w:spacing w:after="0"/>
        <w:rPr>
          <w:b/>
          <w:bCs/>
        </w:rPr>
      </w:pPr>
      <w:r w:rsidRPr="57D3B027">
        <w:rPr>
          <w:b/>
          <w:bCs/>
        </w:rPr>
        <w:t>Vzdělávat i bavit, ale hlavně bezpečně</w:t>
      </w:r>
    </w:p>
    <w:p w14:paraId="7A9D63FE" w14:textId="77777777" w:rsidR="00CA41D8" w:rsidRDefault="00CA41D8" w:rsidP="00CA41D8">
      <w:pPr>
        <w:pStyle w:val="Textzprvy"/>
        <w:spacing w:after="0"/>
        <w:rPr>
          <w:b/>
          <w:bCs/>
        </w:rPr>
      </w:pPr>
    </w:p>
    <w:p w14:paraId="6152D896" w14:textId="77777777" w:rsidR="00CA41D8" w:rsidRDefault="00CA41D8" w:rsidP="00CA41D8">
      <w:pPr>
        <w:pStyle w:val="Textzprvy"/>
        <w:spacing w:after="0"/>
      </w:pPr>
      <w:r w:rsidRPr="00CA41D8">
        <w:t xml:space="preserve">Web </w:t>
      </w:r>
      <w:r w:rsidRPr="00CA41D8">
        <w:rPr>
          <w:b/>
          <w:bCs/>
        </w:rPr>
        <w:t>Déčka</w:t>
      </w:r>
      <w:r w:rsidRPr="00CA41D8">
        <w:t xml:space="preserve"> představuje bezpečný online prostor bez reklam, určený dětem i jejich rodičům. Nabízí edukativní hry, videa, návody, recepty, deskové hry ke stažení i oblíbený Adventní kalendář. V roce 2025 dosáhla měsíční návštěvnost webu 400 tisíc uživatelů, kteří si zobrazili téměř 5,5 milionu stránek měsíčně. Hry pro děti, webové i mobilní, zaznamenaly v úhrnu více než 10,5 milionu spuštění.</w:t>
      </w:r>
    </w:p>
    <w:p w14:paraId="0F804852" w14:textId="77777777" w:rsidR="004F572B" w:rsidRDefault="004F572B" w:rsidP="00CA41D8">
      <w:pPr>
        <w:pStyle w:val="Textzprvy"/>
        <w:spacing w:after="0"/>
      </w:pPr>
    </w:p>
    <w:p w14:paraId="71C8A34F" w14:textId="6DDDD0E1" w:rsidR="00CA41D8" w:rsidRPr="00604279" w:rsidRDefault="00CA41D8" w:rsidP="007B2190">
      <w:pPr>
        <w:pStyle w:val="Textzprvy"/>
        <w:spacing w:after="0"/>
      </w:pPr>
      <w:r w:rsidRPr="00CA41D8">
        <w:t xml:space="preserve">Do letní soutěže Uložte ovečky, která propojuje digitální příběh s výlety po celé České republice, se v létě 2025 zapojilo 29 806 hráčů. Celou hru dokončilo 82,7 % dětí. Během dvou prázdninových měsíců nasbíraly děti 121 898 hesel, což je o 37 </w:t>
      </w:r>
      <w:r w:rsidR="000F5C69" w:rsidRPr="00604279">
        <w:t>%</w:t>
      </w:r>
      <w:r w:rsidRPr="00CA41D8">
        <w:t xml:space="preserve"> více než v předchozím roce. Rodiny tak uskutečnily více než 120 tisíc výletů po celé ČR, což je nejlepší výsledek od roku 2021.</w:t>
      </w:r>
      <w:r w:rsidR="004F572B" w:rsidRPr="00604279">
        <w:t xml:space="preserve"> Projekty webu ČT :D sklízejí také ocenění. </w:t>
      </w:r>
      <w:r w:rsidRPr="00CA41D8">
        <w:t>Projekt Mistrovství Déčka v poezii získal 1. místo (</w:t>
      </w:r>
      <w:proofErr w:type="spellStart"/>
      <w:r w:rsidRPr="00CA41D8">
        <w:t>Golden</w:t>
      </w:r>
      <w:proofErr w:type="spellEnd"/>
      <w:r w:rsidRPr="00CA41D8">
        <w:t xml:space="preserve"> </w:t>
      </w:r>
      <w:proofErr w:type="spellStart"/>
      <w:r w:rsidRPr="00CA41D8">
        <w:t>Award</w:t>
      </w:r>
      <w:proofErr w:type="spellEnd"/>
      <w:r w:rsidRPr="00CA41D8">
        <w:t xml:space="preserve">) na </w:t>
      </w:r>
      <w:r w:rsidR="004F572B" w:rsidRPr="00604279">
        <w:t>festivalu</w:t>
      </w:r>
      <w:r w:rsidRPr="00CA41D8">
        <w:t xml:space="preserve"> </w:t>
      </w:r>
      <w:proofErr w:type="spellStart"/>
      <w:r w:rsidRPr="00CA41D8">
        <w:t>Heart</w:t>
      </w:r>
      <w:proofErr w:type="spellEnd"/>
      <w:r w:rsidRPr="00CA41D8">
        <w:t xml:space="preserve"> </w:t>
      </w:r>
      <w:proofErr w:type="spellStart"/>
      <w:r w:rsidRPr="00CA41D8">
        <w:t>of</w:t>
      </w:r>
      <w:proofErr w:type="spellEnd"/>
      <w:r w:rsidRPr="00CA41D8">
        <w:t xml:space="preserve"> </w:t>
      </w:r>
      <w:proofErr w:type="spellStart"/>
      <w:r w:rsidRPr="00CA41D8">
        <w:t>Europe</w:t>
      </w:r>
      <w:proofErr w:type="spellEnd"/>
      <w:r w:rsidRPr="00CA41D8">
        <w:t xml:space="preserve"> ve Varšavě.</w:t>
      </w:r>
    </w:p>
    <w:p w14:paraId="7F0625AF" w14:textId="77777777" w:rsidR="004F572B" w:rsidRDefault="004F572B" w:rsidP="007B2190">
      <w:pPr>
        <w:pStyle w:val="Textzprvy"/>
        <w:spacing w:after="0"/>
      </w:pPr>
    </w:p>
    <w:p w14:paraId="60C2DEDE" w14:textId="77777777" w:rsidR="004F572B" w:rsidRDefault="004F572B" w:rsidP="004F572B">
      <w:pPr>
        <w:pStyle w:val="Textzprvy"/>
        <w:spacing w:after="0"/>
        <w:rPr>
          <w:b/>
          <w:bCs/>
        </w:rPr>
      </w:pPr>
      <w:r w:rsidRPr="004F572B">
        <w:rPr>
          <w:b/>
          <w:bCs/>
        </w:rPr>
        <w:t>Vzdělávání a kultura jako součást veřejné služby</w:t>
      </w:r>
    </w:p>
    <w:p w14:paraId="05B3B49A" w14:textId="77777777" w:rsidR="004F572B" w:rsidRPr="004F572B" w:rsidRDefault="004F572B" w:rsidP="004F572B">
      <w:pPr>
        <w:pStyle w:val="Textzprvy"/>
        <w:spacing w:after="0"/>
        <w:rPr>
          <w:b/>
          <w:bCs/>
        </w:rPr>
      </w:pPr>
    </w:p>
    <w:p w14:paraId="2EECD4C0" w14:textId="22E99B5C" w:rsidR="004F572B" w:rsidRDefault="004F572B" w:rsidP="004F572B">
      <w:pPr>
        <w:pStyle w:val="Textzprvy"/>
        <w:spacing w:after="0"/>
      </w:pPr>
      <w:r w:rsidRPr="004F572B">
        <w:t xml:space="preserve">Portál </w:t>
      </w:r>
      <w:r w:rsidRPr="004F572B">
        <w:rPr>
          <w:b/>
          <w:bCs/>
        </w:rPr>
        <w:t xml:space="preserve">ČT </w:t>
      </w:r>
      <w:proofErr w:type="spellStart"/>
      <w:r w:rsidRPr="004F572B">
        <w:rPr>
          <w:b/>
          <w:bCs/>
        </w:rPr>
        <w:t>edu</w:t>
      </w:r>
      <w:proofErr w:type="spellEnd"/>
      <w:r w:rsidRPr="004F572B">
        <w:t>, spuštěný během pandemie covidu-19 jako podpora vzdělávání, navštívilo v roce 2025 v průměru 320 tisíc uživatelů měsíčně. Nejčastěji stahovali pracovní listy (1,3 milionu interakcí) a sledovali výuková videa, která dosáhla téměř 5 milionů spuštění.</w:t>
      </w:r>
      <w:r>
        <w:t xml:space="preserve"> Projekt</w:t>
      </w:r>
      <w:r w:rsidRPr="004F572B">
        <w:t xml:space="preserve"> ČT </w:t>
      </w:r>
      <w:proofErr w:type="spellStart"/>
      <w:r w:rsidRPr="004F572B">
        <w:t>edu</w:t>
      </w:r>
      <w:proofErr w:type="spellEnd"/>
      <w:r w:rsidRPr="004F572B">
        <w:t xml:space="preserve"> byl oceněn medailí České školní inspekce Za zásluhy o rozvoj kvality vzdělávání.</w:t>
      </w:r>
    </w:p>
    <w:p w14:paraId="35D6E01C" w14:textId="77777777" w:rsidR="004F572B" w:rsidRPr="004F572B" w:rsidRDefault="004F572B" w:rsidP="004F572B">
      <w:pPr>
        <w:pStyle w:val="Textzprvy"/>
        <w:spacing w:after="0"/>
      </w:pPr>
    </w:p>
    <w:p w14:paraId="2B15A544" w14:textId="2BDA466A" w:rsidR="004F572B" w:rsidRDefault="004F572B" w:rsidP="007B2190">
      <w:pPr>
        <w:pStyle w:val="Textzprvy"/>
        <w:spacing w:after="0"/>
      </w:pPr>
      <w:r w:rsidRPr="004F572B">
        <w:t xml:space="preserve">Web </w:t>
      </w:r>
      <w:r w:rsidRPr="004F572B">
        <w:rPr>
          <w:b/>
          <w:bCs/>
        </w:rPr>
        <w:t>ČT art</w:t>
      </w:r>
      <w:r w:rsidRPr="004F572B">
        <w:t xml:space="preserve"> se jako součást veřejné služby zaměřuje </w:t>
      </w:r>
      <w:r>
        <w:t xml:space="preserve">mimo jiné </w:t>
      </w:r>
      <w:r w:rsidR="00961E73">
        <w:t xml:space="preserve">na </w:t>
      </w:r>
      <w:r>
        <w:t>užší kulturní okruh</w:t>
      </w:r>
      <w:r w:rsidR="00961E73">
        <w:t>y</w:t>
      </w:r>
      <w:r w:rsidRPr="004F572B">
        <w:t xml:space="preserve"> a těší se stabilní návštěvnosti</w:t>
      </w:r>
      <w:r>
        <w:t>. V</w:t>
      </w:r>
      <w:r w:rsidRPr="004F572B">
        <w:t xml:space="preserve"> průměru jej navštívilo </w:t>
      </w:r>
      <w:r>
        <w:t xml:space="preserve">minulý rok </w:t>
      </w:r>
      <w:r w:rsidRPr="004F572B">
        <w:t>100 tisíc uživatelů měsíčně.</w:t>
      </w:r>
    </w:p>
    <w:p w14:paraId="30743EE6" w14:textId="77777777" w:rsidR="004F572B" w:rsidRDefault="004F572B" w:rsidP="007B2190">
      <w:pPr>
        <w:pStyle w:val="Textzprvy"/>
        <w:spacing w:after="0"/>
      </w:pPr>
    </w:p>
    <w:p w14:paraId="482AE2C1" w14:textId="04E83454" w:rsidR="004F572B" w:rsidRDefault="004F572B" w:rsidP="004F572B">
      <w:pPr>
        <w:pStyle w:val="Textzprvy"/>
        <w:spacing w:after="0"/>
        <w:rPr>
          <w:lang w:val="en-US"/>
        </w:rPr>
      </w:pPr>
      <w:proofErr w:type="spellStart"/>
      <w:r w:rsidRPr="57D3B027">
        <w:rPr>
          <w:lang w:val="en-US"/>
        </w:rPr>
        <w:t>Zdroje</w:t>
      </w:r>
      <w:proofErr w:type="spellEnd"/>
      <w:r w:rsidRPr="57D3B027">
        <w:rPr>
          <w:lang w:val="en-US"/>
        </w:rPr>
        <w:t xml:space="preserve">: </w:t>
      </w:r>
      <w:proofErr w:type="spellStart"/>
      <w:r w:rsidRPr="57D3B027">
        <w:rPr>
          <w:lang w:val="en-US"/>
        </w:rPr>
        <w:t>NetMonitor</w:t>
      </w:r>
      <w:proofErr w:type="spellEnd"/>
      <w:r w:rsidRPr="57D3B027">
        <w:rPr>
          <w:lang w:val="en-US"/>
        </w:rPr>
        <w:t>, SPIR, ATO - Nielsen,</w:t>
      </w:r>
      <w:r w:rsidR="005F21F5">
        <w:rPr>
          <w:lang w:val="en-US"/>
        </w:rPr>
        <w:t xml:space="preserve"> PEMD,</w:t>
      </w:r>
      <w:r w:rsidRPr="57D3B027">
        <w:rPr>
          <w:lang w:val="en-US"/>
        </w:rPr>
        <w:t xml:space="preserve"> Google Analytics</w:t>
      </w:r>
    </w:p>
    <w:p w14:paraId="1952BAA5" w14:textId="77777777" w:rsidR="004F572B" w:rsidRDefault="004F572B" w:rsidP="004F572B">
      <w:pPr>
        <w:pStyle w:val="Textzprvy"/>
        <w:spacing w:after="0"/>
        <w:rPr>
          <w:lang w:val="en-US"/>
        </w:rPr>
      </w:pPr>
    </w:p>
    <w:p w14:paraId="6FA2F9C7" w14:textId="77777777" w:rsidR="004F572B" w:rsidRPr="004F572B" w:rsidRDefault="004F572B" w:rsidP="004F572B">
      <w:pPr>
        <w:pStyle w:val="Textzprvy"/>
        <w:spacing w:after="0"/>
        <w:rPr>
          <w:i/>
          <w:iCs/>
        </w:rPr>
      </w:pPr>
      <w:r w:rsidRPr="004F572B">
        <w:rPr>
          <w:i/>
          <w:iCs/>
        </w:rPr>
        <w:t xml:space="preserve">Metrika počtu uživatelů na webu je počítána podle nové metodiky měření </w:t>
      </w:r>
      <w:proofErr w:type="spellStart"/>
      <w:r w:rsidRPr="004F572B">
        <w:rPr>
          <w:i/>
          <w:iCs/>
        </w:rPr>
        <w:t>NetMonitoru</w:t>
      </w:r>
      <w:proofErr w:type="spellEnd"/>
      <w:r w:rsidRPr="004F572B">
        <w:rPr>
          <w:i/>
          <w:iCs/>
        </w:rPr>
        <w:t xml:space="preserve"> od září 2025. Jedná se o průměry za období, kdy byl počet uživatelů upraven tak, aby přesněji monitoroval chování uživatelů online.</w:t>
      </w:r>
    </w:p>
    <w:p w14:paraId="7141AF56" w14:textId="77777777" w:rsidR="004023BD" w:rsidRDefault="004023BD" w:rsidP="00F85ECB">
      <w:pPr>
        <w:pStyle w:val="Textzprvy"/>
        <w:spacing w:after="0"/>
        <w:rPr>
          <w:bCs/>
        </w:rPr>
      </w:pPr>
    </w:p>
    <w:p w14:paraId="55893FEA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D65E501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7A8B" w14:textId="77777777" w:rsidR="004C6BAB" w:rsidRDefault="004C6BAB" w:rsidP="00FE502B">
      <w:r>
        <w:separator/>
      </w:r>
    </w:p>
  </w:endnote>
  <w:endnote w:type="continuationSeparator" w:id="0">
    <w:p w14:paraId="4E7498CF" w14:textId="77777777" w:rsidR="004C6BAB" w:rsidRDefault="004C6BA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36B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778DFA0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327FDC6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977E" w14:textId="77777777" w:rsidR="004C6BAB" w:rsidRDefault="004C6BAB" w:rsidP="00FE502B">
      <w:r>
        <w:separator/>
      </w:r>
    </w:p>
  </w:footnote>
  <w:footnote w:type="continuationSeparator" w:id="0">
    <w:p w14:paraId="6DB684EF" w14:textId="77777777" w:rsidR="004C6BAB" w:rsidRDefault="004C6BA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F2D5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2DF939" wp14:editId="08BEB29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6701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DF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676701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6D5F049" wp14:editId="286FDCC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567637">
    <w:abstractNumId w:val="1"/>
  </w:num>
  <w:num w:numId="2" w16cid:durableId="92310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AB"/>
    <w:rsid w:val="00005066"/>
    <w:rsid w:val="00005CB7"/>
    <w:rsid w:val="00015D3C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5C69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6A40"/>
    <w:rsid w:val="002157D9"/>
    <w:rsid w:val="00217E15"/>
    <w:rsid w:val="002370B2"/>
    <w:rsid w:val="002521BF"/>
    <w:rsid w:val="00266600"/>
    <w:rsid w:val="00271094"/>
    <w:rsid w:val="00283330"/>
    <w:rsid w:val="00284E29"/>
    <w:rsid w:val="002A57EC"/>
    <w:rsid w:val="002B0432"/>
    <w:rsid w:val="002C54A8"/>
    <w:rsid w:val="002D4966"/>
    <w:rsid w:val="002E7A62"/>
    <w:rsid w:val="002F5E03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3BD"/>
    <w:rsid w:val="0040295A"/>
    <w:rsid w:val="00412AD7"/>
    <w:rsid w:val="004137D7"/>
    <w:rsid w:val="00413B32"/>
    <w:rsid w:val="00423B07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6BAB"/>
    <w:rsid w:val="004C78E8"/>
    <w:rsid w:val="004D3E0B"/>
    <w:rsid w:val="004E2C11"/>
    <w:rsid w:val="004F12BC"/>
    <w:rsid w:val="004F4E54"/>
    <w:rsid w:val="004F572B"/>
    <w:rsid w:val="004F6922"/>
    <w:rsid w:val="00502805"/>
    <w:rsid w:val="005128CB"/>
    <w:rsid w:val="00516E0D"/>
    <w:rsid w:val="00521969"/>
    <w:rsid w:val="005230C9"/>
    <w:rsid w:val="005332F0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063F"/>
    <w:rsid w:val="005C3FD5"/>
    <w:rsid w:val="005D7E81"/>
    <w:rsid w:val="005E0F3E"/>
    <w:rsid w:val="005E260D"/>
    <w:rsid w:val="005E7084"/>
    <w:rsid w:val="005F21F5"/>
    <w:rsid w:val="005F7332"/>
    <w:rsid w:val="00600EB3"/>
    <w:rsid w:val="00603A48"/>
    <w:rsid w:val="00604279"/>
    <w:rsid w:val="006274D7"/>
    <w:rsid w:val="006277A4"/>
    <w:rsid w:val="00627B7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3F00"/>
    <w:rsid w:val="00745BEE"/>
    <w:rsid w:val="007853E0"/>
    <w:rsid w:val="007A573F"/>
    <w:rsid w:val="007B2190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76071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422F6"/>
    <w:rsid w:val="0095031E"/>
    <w:rsid w:val="00961E73"/>
    <w:rsid w:val="0096200E"/>
    <w:rsid w:val="00964730"/>
    <w:rsid w:val="00966A9B"/>
    <w:rsid w:val="009709A2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17745"/>
    <w:rsid w:val="00A24833"/>
    <w:rsid w:val="00A35054"/>
    <w:rsid w:val="00A36664"/>
    <w:rsid w:val="00A5241E"/>
    <w:rsid w:val="00A524D3"/>
    <w:rsid w:val="00A5597B"/>
    <w:rsid w:val="00A815A1"/>
    <w:rsid w:val="00A81B59"/>
    <w:rsid w:val="00A82B5D"/>
    <w:rsid w:val="00A85A56"/>
    <w:rsid w:val="00A873B9"/>
    <w:rsid w:val="00AA247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4F9A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41D8"/>
    <w:rsid w:val="00CA7EB5"/>
    <w:rsid w:val="00CB08FF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18C6"/>
    <w:rsid w:val="00D738E6"/>
    <w:rsid w:val="00D97134"/>
    <w:rsid w:val="00DA2F4B"/>
    <w:rsid w:val="00DB1A17"/>
    <w:rsid w:val="00DB4396"/>
    <w:rsid w:val="00DB6C1A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85ECB"/>
    <w:rsid w:val="00F905EF"/>
    <w:rsid w:val="00F96AA5"/>
    <w:rsid w:val="00F96B65"/>
    <w:rsid w:val="00FA5350"/>
    <w:rsid w:val="00FA7493"/>
    <w:rsid w:val="00FB0822"/>
    <w:rsid w:val="00FB212E"/>
    <w:rsid w:val="00FB72C6"/>
    <w:rsid w:val="00FB7EBF"/>
    <w:rsid w:val="00FC3395"/>
    <w:rsid w:val="00FD179C"/>
    <w:rsid w:val="00FD30E9"/>
    <w:rsid w:val="00FD63AC"/>
    <w:rsid w:val="00FD7ABF"/>
    <w:rsid w:val="00FE502B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82646"/>
  <w15:chartTrackingRefBased/>
  <w15:docId w15:val="{BD5A2D7B-9660-4DB7-A8FB-90B2E83F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A81B59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37</TotalTime>
  <Pages>3</Pages>
  <Words>1280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8820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6</cp:revision>
  <cp:lastPrinted>2023-04-18T10:42:00Z</cp:lastPrinted>
  <dcterms:created xsi:type="dcterms:W3CDTF">2026-01-13T10:11:00Z</dcterms:created>
  <dcterms:modified xsi:type="dcterms:W3CDTF">2026-01-14T11:26:00Z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